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295.0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зависимости от среды и задач образования), включая мировые религии, философские и этические учения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истории религии</w:t>
            </w:r>
          </w:p>
          <w:p>
            <w:pPr>
              <w:jc w:val="center"/>
              <w:spacing w:after="0" w:line="240" w:lineRule="auto"/>
              <w:rPr>
                <w:sz w:val="22"/>
                <w:szCs w:val="22"/>
              </w:rPr>
            </w:pPr>
            <w:r>
              <w:rPr>
                <w:rFonts w:ascii="Times New Roman" w:hAnsi="Times New Roman" w:cs="Times New Roman"/>
                <w:color w:val="#000000"/>
                <w:sz w:val="22"/>
                <w:szCs w:val="22"/>
              </w:rPr>
              <w:t> Религиоведение</w:t>
            </w:r>
          </w:p>
          <w:p>
            <w:pPr>
              <w:jc w:val="center"/>
              <w:spacing w:after="0" w:line="240" w:lineRule="auto"/>
              <w:rPr>
                <w:sz w:val="22"/>
                <w:szCs w:val="22"/>
              </w:rPr>
            </w:pPr>
            <w:r>
              <w:rPr>
                <w:rFonts w:ascii="Times New Roman" w:hAnsi="Times New Roman" w:cs="Times New Roman"/>
                <w:color w:val="#000000"/>
                <w:sz w:val="22"/>
                <w:szCs w:val="22"/>
              </w:rPr>
              <w:t> История мировой художественной культуры</w:t>
            </w:r>
          </w:p>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История русской культуры</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72.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2024-2025_ФГОС3++2024_Бак-ОФО-ПО(ИО)(24)_plx_Философия</dc:title>
  <dc:creator>FastReport.NET</dc:creator>
</cp:coreProperties>
</file>